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09A2E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240" w:after="240"/>
        <w:ind w:firstLine="0" w:left="0" w:right="0"/>
      </w:pPr>
      <w:bookmarkStart w:id="0" w:name="_dx_frag_StartFragment"/>
      <w:bookmarkEnd w:id="0"/>
      <w:r>
        <w:rPr>
          <w:b w:val="1"/>
        </w:rPr>
        <w:t>ДОГОВІР ПУБЛІЧНОЇ ОФЕРТИ ТА АГЕНТСЬКИЙ ДОГОВІР</w:t>
      </w:r>
    </w:p>
    <w:p>
      <w:pPr>
        <w:spacing w:before="240" w:after="240"/>
        <w:ind w:firstLine="0" w:left="0" w:right="0"/>
      </w:pPr>
      <w:r>
        <w:t>ТОВ «GreenTech24», юридична особа, зареєстрована відповідно до законодавства України (далі — Компанія), з однієї сторони, та фізична особа, фізична особа-підприємець або юридична особа (далі — Клієнт), з іншої сторони, далі разом — Сторони, уклали цей договір (далі — Договір) про наступне: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I. Терміни та визначення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</w:rPr>
        <w:t>Оферта</w:t>
      </w:r>
      <w:r>
        <w:t xml:space="preserve"> — публічна пропозиція Компанії, адресована необмеженому колу осіб, укласти цей Договір на умовах, визначених нижче, шляхом акцепту.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</w:rPr>
        <w:t>Акцепт</w:t>
      </w:r>
      <w:r>
        <w:t xml:space="preserve"> — повне й безумовне прийняття Клієнтом умов Оферти, що виражається через реєстрацію на сайті Компанії та подальше оформлення замовлення.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</w:rPr>
        <w:t>Агент</w:t>
      </w:r>
      <w:r>
        <w:t xml:space="preserve"> — Компанія, що діє за дорученням Клієнта, укладаючи угоди від свого імені, але за рахунок Клієнта.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</w:rPr>
        <w:t>Послуга викупу товарів</w:t>
      </w:r>
      <w:r>
        <w:t xml:space="preserve"> — послуга, що передбачає придбання Компанією від свого імені, але за рахунок Клієнта, товару в інтернет-магазинах та постачальників, а також організацію його доставки на склад Компанії.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</w:rPr>
        <w:t>Клієнт</w:t>
      </w:r>
      <w:r>
        <w:t xml:space="preserve"> — фізична особа, фізична особа-підприємець або юридична особа, яка користується послугами Компанії.</w:t>
      </w:r>
    </w:p>
    <w:p>
      <w:pPr>
        <w:numPr>
          <w:ilvl w:val="0"/>
          <w:numId w:val="1"/>
        </w:numPr>
        <w:spacing w:before="0" w:after="0"/>
        <w:ind w:hanging="360" w:left="720" w:right="0"/>
      </w:pPr>
      <w:r>
        <w:rPr>
          <w:b w:val="1"/>
        </w:rPr>
        <w:t>Особистий кабінет</w:t>
      </w:r>
      <w:r>
        <w:t xml:space="preserve"> — індивідуальний розділ сайту Компанії, що надає доступ до управління послугами та замовленнями Клієнта.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II. Предмет договору</w:t>
      </w:r>
    </w:p>
    <w:p>
      <w:pPr>
        <w:numPr>
          <w:ilvl w:val="0"/>
          <w:numId w:val="2"/>
        </w:numPr>
        <w:spacing w:before="0" w:after="0"/>
        <w:ind w:hanging="360" w:left="720" w:right="0"/>
      </w:pPr>
      <w:r>
        <w:rPr>
          <w:b w:val="1"/>
        </w:rPr>
        <w:t>Предметом Договору</w:t>
      </w:r>
      <w:r>
        <w:t xml:space="preserve"> є надання Компанією агентських послуг з придбання товарів та організації їх доставки в Україну або інші країни за дорученням Клієнта.</w:t>
      </w:r>
    </w:p>
    <w:p>
      <w:pPr>
        <w:numPr>
          <w:ilvl w:val="0"/>
          <w:numId w:val="2"/>
        </w:numPr>
        <w:spacing w:before="0" w:after="0"/>
        <w:ind w:hanging="360" w:left="720" w:right="0"/>
      </w:pPr>
      <w:r>
        <w:rPr>
          <w:b w:val="1"/>
        </w:rPr>
        <w:t>Послуги пошуку та викупу товарів</w:t>
      </w:r>
      <w:r>
        <w:t xml:space="preserve"> включають:</w:t>
      </w:r>
    </w:p>
    <w:p>
      <w:pPr>
        <w:numPr>
          <w:ilvl w:val="1"/>
          <w:numId w:val="2"/>
        </w:numPr>
        <w:spacing w:before="0" w:after="0"/>
        <w:ind w:hanging="360" w:left="1440" w:right="0"/>
      </w:pPr>
      <w:r>
        <w:t>Оформлення покупки від імені Компанії за дорученням Клієнта;</w:t>
      </w:r>
    </w:p>
    <w:p>
      <w:pPr>
        <w:numPr>
          <w:ilvl w:val="1"/>
          <w:numId w:val="2"/>
        </w:numPr>
        <w:spacing w:before="0" w:after="0"/>
        <w:ind w:hanging="360" w:left="1440" w:right="0"/>
      </w:pPr>
      <w:r>
        <w:t>Організацію доставки придбаного товару на склад Компанії;</w:t>
      </w:r>
    </w:p>
    <w:p>
      <w:pPr>
        <w:numPr>
          <w:ilvl w:val="1"/>
          <w:numId w:val="2"/>
        </w:numPr>
        <w:spacing w:before="0" w:after="0"/>
        <w:ind w:hanging="360" w:left="1440" w:right="0"/>
      </w:pPr>
      <w:r>
        <w:t>Подальшу доставку товару Клієнту на підставі окремого замовлення.</w:t>
      </w:r>
    </w:p>
    <w:p>
      <w:pPr>
        <w:numPr>
          <w:ilvl w:val="0"/>
          <w:numId w:val="2"/>
        </w:numPr>
        <w:spacing w:before="0" w:after="0"/>
        <w:ind w:hanging="360" w:left="720" w:right="0"/>
      </w:pPr>
      <w:r>
        <w:rPr>
          <w:b w:val="1"/>
        </w:rPr>
        <w:t>Обмеження відповідальності щодо постачальника</w:t>
      </w:r>
      <w:r>
        <w:t>: Продавець — Компанія будь-якої форми власності, зареєстрована за межами України, незалежно від її організаційно-правової форми або країни реєстрації. GreenTech24 не виступає продавцем, власником або постачальником товарів, за винятком випадків, коли це додатково погоджено між сторонами. У такому разі сторони повинні укласти окрему угоду щодо прав і обов’язків продавця та покупця товару.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III. Порядок оформлення замовлення</w:t>
      </w:r>
    </w:p>
    <w:p>
      <w:pPr>
        <w:numPr>
          <w:ilvl w:val="0"/>
          <w:numId w:val="3"/>
        </w:numPr>
        <w:spacing w:before="0" w:after="0"/>
        <w:ind w:hanging="360" w:left="720" w:right="0"/>
      </w:pPr>
      <w:r>
        <w:rPr>
          <w:b w:val="1"/>
        </w:rPr>
        <w:t>Реєстрація на сайті та акцепт оферти</w:t>
      </w:r>
      <w:r>
        <w:t>: Для отримання послуг Клієнт має зареєструватися в Особистому кабінеті на сайті Компанії та акцептувати умови цього Договору.</w:t>
      </w:r>
    </w:p>
    <w:p>
      <w:pPr>
        <w:numPr>
          <w:ilvl w:val="0"/>
          <w:numId w:val="3"/>
        </w:numPr>
        <w:spacing w:before="0" w:after="0"/>
        <w:ind w:hanging="360" w:left="720" w:right="0"/>
      </w:pPr>
      <w:r>
        <w:rPr>
          <w:b w:val="1"/>
        </w:rPr>
        <w:t>Оформлення замовлення та його підтвердження</w:t>
      </w:r>
      <w:r>
        <w:t>: Клієнт оформлює замовлення через Особистий кабінет, вибираючи потрібні товари, після чого Компанія надає підтвердження замовлення і здійснює всі дії, необхідні для викупу та доставки товарів.</w:t>
      </w:r>
    </w:p>
    <w:p>
      <w:pPr>
        <w:numPr>
          <w:ilvl w:val="0"/>
          <w:numId w:val="3"/>
        </w:numPr>
        <w:spacing w:before="0" w:after="0"/>
        <w:ind w:hanging="360" w:left="720" w:right="0"/>
      </w:pPr>
      <w:r>
        <w:rPr>
          <w:b w:val="1"/>
        </w:rPr>
        <w:t>Оплата</w:t>
      </w:r>
      <w:r>
        <w:t>: Клієнт зобов’язаний здійснити оплату послуг у порядку, встановленому на сайті. Оплата включає:</w:t>
      </w:r>
    </w:p>
    <w:p>
      <w:pPr>
        <w:numPr>
          <w:ilvl w:val="1"/>
          <w:numId w:val="3"/>
        </w:numPr>
        <w:spacing w:before="0" w:after="0"/>
        <w:ind w:hanging="360" w:left="1440" w:right="0"/>
      </w:pPr>
      <w:r>
        <w:t>Вартість товару;</w:t>
      </w:r>
    </w:p>
    <w:p>
      <w:pPr>
        <w:numPr>
          <w:ilvl w:val="1"/>
          <w:numId w:val="3"/>
        </w:numPr>
        <w:spacing w:before="0" w:after="0"/>
        <w:ind w:hanging="360" w:left="1440" w:right="0"/>
      </w:pPr>
      <w:r>
        <w:t>Винагороду Компанії у вигляді комісії;</w:t>
      </w:r>
    </w:p>
    <w:p>
      <w:pPr>
        <w:numPr>
          <w:ilvl w:val="1"/>
          <w:numId w:val="3"/>
        </w:numPr>
        <w:spacing w:before="0" w:after="0"/>
        <w:ind w:hanging="360" w:left="1440" w:right="0"/>
      </w:pPr>
      <w:r>
        <w:t>Вартість доставки та інших послуг за окремим тарифом.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IV. Права та обов’язки сторін</w:t>
      </w:r>
    </w:p>
    <w:p>
      <w:pPr>
        <w:numPr>
          <w:ilvl w:val="0"/>
          <w:numId w:val="4"/>
        </w:numPr>
        <w:spacing w:before="0" w:after="0"/>
        <w:ind w:hanging="360" w:left="720" w:right="0"/>
      </w:pPr>
      <w:r>
        <w:rPr>
          <w:b w:val="1"/>
        </w:rPr>
        <w:t>Права Компанії</w:t>
      </w:r>
      <w:r>
        <w:t>: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Запитувати у Клієнта інформацію, необхідну для виконання замовлення;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Залучати третіх осіб для виконання своїх зобов’язань за Договором;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Припинити надання послуг у випадку відсутності достатньої інформації або відсутності оплати.</w:t>
      </w:r>
    </w:p>
    <w:p>
      <w:pPr>
        <w:numPr>
          <w:ilvl w:val="0"/>
          <w:numId w:val="4"/>
        </w:numPr>
        <w:spacing w:before="0" w:after="0"/>
        <w:ind w:hanging="360" w:left="720" w:right="0"/>
      </w:pPr>
      <w:r>
        <w:rPr>
          <w:b w:val="1"/>
        </w:rPr>
        <w:t>Обов’язки Компанії</w:t>
      </w:r>
      <w:r>
        <w:t>: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Виконувати доручення Клієнта відповідно до умов цього Договору;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Надавати інформацію про статус замовлення через Особистий кабінет;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Забезпечувати конфіденційність персональних даних Клієнта.</w:t>
      </w:r>
    </w:p>
    <w:p>
      <w:pPr>
        <w:numPr>
          <w:ilvl w:val="0"/>
          <w:numId w:val="4"/>
        </w:numPr>
        <w:spacing w:before="0" w:after="0"/>
        <w:ind w:hanging="360" w:left="720" w:right="0"/>
      </w:pPr>
      <w:r>
        <w:rPr>
          <w:b w:val="1"/>
        </w:rPr>
        <w:t>Права Клієнта</w:t>
      </w:r>
      <w:r>
        <w:t>: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Вимагати від Компанії виконання зобов’язань за умовами Договору;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Отримувати інформацію про статус виконання замовлення;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Відмовитися від послуг до моменту їх фактичного виконання.</w:t>
      </w:r>
    </w:p>
    <w:p>
      <w:pPr>
        <w:numPr>
          <w:ilvl w:val="0"/>
          <w:numId w:val="4"/>
        </w:numPr>
        <w:spacing w:before="0" w:after="0"/>
        <w:ind w:hanging="360" w:left="720" w:right="0"/>
      </w:pPr>
      <w:r>
        <w:rPr>
          <w:b w:val="1"/>
        </w:rPr>
        <w:t>Обов’язки Клієнта</w:t>
      </w:r>
      <w:r>
        <w:t>: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Своєчасно і в повному обсязі оплачувати послуги Компанії;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Надавати Компанії достовірну інформацію, необхідну для виконання послуг;</w:t>
      </w:r>
    </w:p>
    <w:p>
      <w:pPr>
        <w:numPr>
          <w:ilvl w:val="1"/>
          <w:numId w:val="4"/>
        </w:numPr>
        <w:spacing w:before="0" w:after="0"/>
        <w:ind w:hanging="360" w:left="1440" w:right="0"/>
      </w:pPr>
      <w:r>
        <w:t>Зберігати всі документи, що підтверджують оплату послуг та товарів.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V. Відповідальність сторін</w:t>
      </w:r>
    </w:p>
    <w:p>
      <w:pPr>
        <w:numPr>
          <w:ilvl w:val="0"/>
          <w:numId w:val="5"/>
        </w:numPr>
        <w:spacing w:before="0" w:after="0"/>
        <w:ind w:hanging="360" w:left="720" w:right="0"/>
      </w:pPr>
      <w:r>
        <w:rPr>
          <w:b w:val="1"/>
        </w:rPr>
        <w:t>Компанія</w:t>
      </w:r>
      <w:r>
        <w:t xml:space="preserve"> не несе відповідальності за збитки, спричинені невідповідністю товару опису, наданому постачальником, або за затримку доставки товару з вини третіх осіб.</w:t>
      </w:r>
    </w:p>
    <w:p>
      <w:pPr>
        <w:numPr>
          <w:ilvl w:val="0"/>
          <w:numId w:val="5"/>
        </w:numPr>
        <w:spacing w:before="0" w:after="0"/>
        <w:ind w:hanging="360" w:left="720" w:right="0"/>
      </w:pPr>
      <w:r>
        <w:rPr>
          <w:b w:val="1"/>
        </w:rPr>
        <w:t>Клієнт</w:t>
      </w:r>
      <w:r>
        <w:t xml:space="preserve"> несе відповідальність за вибір товару та його відповідність умовам перевезення та митного оформлення в країні призначення.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VI. Умови повернення та обміну</w:t>
      </w:r>
    </w:p>
    <w:p>
      <w:pPr>
        <w:numPr>
          <w:ilvl w:val="0"/>
          <w:numId w:val="6"/>
        </w:numPr>
        <w:spacing w:before="0" w:after="0"/>
        <w:ind w:hanging="360" w:left="720" w:right="0"/>
      </w:pPr>
      <w:r>
        <w:t>У разі відмови Клієнта від замовлення до його викупу, Компанія повертає кошти, за вирахуванням можливих комісій.</w:t>
      </w:r>
    </w:p>
    <w:p>
      <w:pPr>
        <w:numPr>
          <w:ilvl w:val="0"/>
          <w:numId w:val="6"/>
        </w:numPr>
        <w:spacing w:before="0" w:after="0"/>
        <w:ind w:hanging="360" w:left="720" w:right="0"/>
      </w:pPr>
      <w:r>
        <w:t>У випадку повернення товару з причин, незалежних від Компанії, Клієнт покриває всі витрати на зворотну доставку.</w:t>
      </w:r>
    </w:p>
    <w:p>
      <w:pPr>
        <w:numPr>
          <w:ilvl w:val="0"/>
          <w:numId w:val="6"/>
        </w:numPr>
        <w:spacing w:before="0" w:after="0"/>
        <w:ind w:hanging="360" w:left="720" w:right="0"/>
      </w:pPr>
      <w:r>
        <w:t>У разі скасування замовлення після його викупу, Компанія утримує комісію та не повертає вартість доставки.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VII. Форс-мажорні обставини</w:t>
      </w:r>
    </w:p>
    <w:p>
      <w:pPr>
        <w:numPr>
          <w:ilvl w:val="0"/>
          <w:numId w:val="7"/>
        </w:numPr>
        <w:spacing w:before="0" w:after="0"/>
        <w:ind w:hanging="360" w:left="720" w:right="0"/>
      </w:pPr>
      <w:r>
        <w:t>Компанія не несе відповідальності за повне або часткове невиконання зобов’язань у разі настання форс-мажорних обставин, таких як війна, стихійні лиха, страйки тощо.</w:t>
      </w:r>
    </w:p>
    <w:p>
      <w:pPr>
        <w:numPr>
          <w:ilvl w:val="0"/>
          <w:numId w:val="7"/>
        </w:numPr>
        <w:spacing w:before="0" w:after="0"/>
        <w:ind w:hanging="360" w:left="720" w:right="0"/>
      </w:pPr>
      <w:r>
        <w:t>Сторона, яка зіткнулася з форс-мажорними обставинами, зобов’язана повідомити про це іншу Сторону протягом 5 робочих днів.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VIII. Порядок вирішення спорів та застосовне законодавство</w:t>
      </w:r>
    </w:p>
    <w:p>
      <w:pPr>
        <w:numPr>
          <w:ilvl w:val="0"/>
          <w:numId w:val="8"/>
        </w:numPr>
        <w:spacing w:before="0" w:after="0"/>
        <w:ind w:hanging="360" w:left="720" w:right="0"/>
      </w:pPr>
      <w:r>
        <w:rPr>
          <w:b w:val="1"/>
        </w:rPr>
        <w:t>Процедура вирішення спорів</w:t>
      </w:r>
      <w:r>
        <w:t>: Спори та розбіжності вирішуються шляхом переговорів між Сторонами протягом 15 робочих днів з моменту їх виникнення.</w:t>
      </w:r>
    </w:p>
    <w:p>
      <w:pPr>
        <w:numPr>
          <w:ilvl w:val="0"/>
          <w:numId w:val="8"/>
        </w:numPr>
        <w:spacing w:before="0" w:after="0"/>
        <w:ind w:hanging="360" w:left="720" w:right="0"/>
      </w:pPr>
      <w:r>
        <w:rPr>
          <w:b w:val="1"/>
        </w:rPr>
        <w:t>Підсудність</w:t>
      </w:r>
      <w:r>
        <w:t>: У разі неможливості врегулювати спір шляхом переговорів, Сторони передають справу на розгляд до суду за місцем знаходження Компанії згідно з законодавством України.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IX. Конфіденційність та обробка персональних даних</w:t>
      </w:r>
    </w:p>
    <w:p>
      <w:pPr>
        <w:numPr>
          <w:ilvl w:val="0"/>
          <w:numId w:val="9"/>
        </w:numPr>
        <w:spacing w:before="0" w:after="0"/>
        <w:ind w:hanging="360" w:left="720" w:right="0"/>
      </w:pPr>
      <w:r>
        <w:rPr>
          <w:b w:val="1"/>
        </w:rPr>
        <w:t>Конфіденційність</w:t>
      </w:r>
      <w:r>
        <w:t>: Компанія зобов’язується забезпечувати захист конфіденційних даних Клієнта відповідно до вимог законодавства України.</w:t>
      </w:r>
    </w:p>
    <w:p>
      <w:pPr>
        <w:numPr>
          <w:ilvl w:val="0"/>
          <w:numId w:val="9"/>
        </w:numPr>
        <w:spacing w:before="0" w:after="0"/>
        <w:ind w:hanging="360" w:left="720" w:right="0"/>
      </w:pPr>
      <w:r>
        <w:rPr>
          <w:b w:val="1"/>
        </w:rPr>
        <w:t>Обробка персональних даних</w:t>
      </w:r>
      <w:r>
        <w:t>: Клієнт надає згоду на обробку своїх персональних даних, що передбачає їх збирання, зберігання, використання і передачу в межах, необхідних для виконання умов цього Договору.</w:t>
      </w:r>
    </w:p>
    <w:p>
      <w:pPr>
        <w:spacing w:before="240" w:after="240"/>
        <w:ind w:firstLine="0" w:left="0" w:right="0"/>
        <w:outlineLvl w:val="2"/>
        <w:rPr>
          <w:b w:val="1"/>
          <w:sz w:val="27"/>
        </w:rPr>
      </w:pPr>
      <w:r>
        <w:rPr>
          <w:b w:val="1"/>
          <w:sz w:val="27"/>
        </w:rPr>
        <w:t>Розділ X. Реквізити Компанії</w:t>
      </w:r>
    </w:p>
    <w:p>
      <w:pPr>
        <w:numPr>
          <w:ilvl w:val="0"/>
          <w:numId w:val="10"/>
        </w:numPr>
        <w:spacing w:before="0" w:after="0"/>
        <w:ind w:hanging="360" w:left="720" w:right="0"/>
      </w:pPr>
      <w:r>
        <w:rPr>
          <w:b w:val="1"/>
        </w:rPr>
        <w:t>Назва компанії</w:t>
      </w:r>
      <w:r>
        <w:t>: ТОВ «GreenTech24»</w:t>
      </w:r>
    </w:p>
    <w:p>
      <w:pPr>
        <w:numPr>
          <w:ilvl w:val="0"/>
          <w:numId w:val="10"/>
        </w:numPr>
        <w:spacing w:before="0" w:after="0"/>
        <w:ind w:hanging="360" w:left="720" w:right="0"/>
      </w:pPr>
      <w:r>
        <w:rPr>
          <w:b w:val="1"/>
        </w:rPr>
        <w:t>Юридична адреса</w:t>
      </w:r>
      <w:r>
        <w:t>: 65078, ОДЕСЬКА область, місто ОДЕСА, вулиця ПЕТРОВА ГЕНЕРАЛА, будинок 30/2, офіс 75</w:t>
      </w:r>
    </w:p>
    <w:p>
      <w:r>
        <w:rPr>
          <w:b w:val="1"/>
        </w:rPr>
        <w:t>Фактична адреса</w:t>
      </w:r>
      <w:r>
        <w:t>: Україна, м. Київ вул.</w:t>
      </w: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63A16DC9"/>
    <w:multiLevelType w:val="hybridMultilevel"/>
    <w:lvl w:ilvl="0" w:tplc="69B0D296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284B48C6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17608747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1DE77912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601D43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363C686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C4C528A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B192C9D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5CBEE1A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1">
    <w:nsid w:val="6D134CF1"/>
    <w:multiLevelType w:val="hybridMultilevel"/>
    <w:lvl w:ilvl="0" w:tplc="79CE40EE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D9892B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30DA4F4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DC65FC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4F16F01A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8DA554D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4E62816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1AF869F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E6DA89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2">
    <w:nsid w:val="10A18ABC"/>
    <w:multiLevelType w:val="hybridMultilevel"/>
    <w:lvl w:ilvl="0" w:tplc="5058C74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FBE9AA6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4FAADFA1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2B7BE0EE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73B378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2793857D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0BF0A3C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2CDAAEA1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DD7140D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3">
    <w:nsid w:val="5C9929B0"/>
    <w:multiLevelType w:val="hybridMultilevel"/>
    <w:lvl w:ilvl="0" w:tplc="7AC80B9B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7C73C3E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2628C804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C1DEB7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E4BF57B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D8FEB3F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7C08277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182B6A35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661A751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4">
    <w:nsid w:val="22095677"/>
    <w:multiLevelType w:val="hybridMultilevel"/>
    <w:lvl w:ilvl="0" w:tplc="35F77D8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A0DD52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6F35E65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620427D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6FA99856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A8455DE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50FB857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7EED1CEB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78DE7AA2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5">
    <w:nsid w:val="6E849057"/>
    <w:multiLevelType w:val="hybridMultilevel"/>
    <w:lvl w:ilvl="0" w:tplc="103539C8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5AE82E3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3C3ACD57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6945823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E055743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359FEE72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1B61D92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6E632CD3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38832404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6">
    <w:nsid w:val="49C873BA"/>
    <w:multiLevelType w:val="hybridMultilevel"/>
    <w:lvl w:ilvl="0" w:tplc="0084484A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1B894D8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4D0F18D4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055CB720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7619FCE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6BB2586A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66120380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A75C4EB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5DAB9CCB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7">
    <w:nsid w:val="426EAEA6"/>
    <w:multiLevelType w:val="hybridMultilevel"/>
    <w:lvl w:ilvl="0" w:tplc="75502EBC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5BE3CB92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729DA491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659DD489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30417E4D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17896F39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0DE54CF1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4D1D72A9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629E4B8E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8">
    <w:nsid w:val="0F73C745"/>
    <w:multiLevelType w:val="hybridMultilevel"/>
    <w:lvl w:ilvl="0" w:tplc="0A930B91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1395521C">
      <w:start w:val="1"/>
      <w:numFmt w:val="decimal"/>
      <w:suff w:val="tab"/>
      <w:lvlText w:val="%2."/>
      <w:lvlJc w:val="left"/>
      <w:pPr>
        <w:ind w:hanging="360" w:left="1440"/>
      </w:pPr>
      <w:rPr/>
    </w:lvl>
    <w:lvl w:ilvl="2" w:tplc="05ED6546">
      <w:start w:val="1"/>
      <w:numFmt w:val="decimal"/>
      <w:suff w:val="tab"/>
      <w:lvlText w:val="%3."/>
      <w:lvlJc w:val="left"/>
      <w:pPr>
        <w:ind w:hanging="360" w:left="2160"/>
      </w:pPr>
      <w:rPr/>
    </w:lvl>
    <w:lvl w:ilvl="3" w:tplc="37ED3E2A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2C39DEAC">
      <w:start w:val="1"/>
      <w:numFmt w:val="decimal"/>
      <w:suff w:val="tab"/>
      <w:lvlText w:val="%5."/>
      <w:lvlJc w:val="left"/>
      <w:pPr>
        <w:ind w:hanging="360" w:left="3600"/>
      </w:pPr>
      <w:rPr/>
    </w:lvl>
    <w:lvl w:ilvl="5" w:tplc="4BC3EA81">
      <w:start w:val="1"/>
      <w:numFmt w:val="decimal"/>
      <w:suff w:val="tab"/>
      <w:lvlText w:val="%6."/>
      <w:lvlJc w:val="left"/>
      <w:pPr>
        <w:ind w:hanging="360" w:left="4320"/>
      </w:pPr>
      <w:rPr/>
    </w:lvl>
    <w:lvl w:ilvl="6" w:tplc="1C54B947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0C99B7E">
      <w:start w:val="1"/>
      <w:numFmt w:val="decimal"/>
      <w:suff w:val="tab"/>
      <w:lvlText w:val="%8."/>
      <w:lvlJc w:val="left"/>
      <w:pPr>
        <w:ind w:hanging="360" w:left="5760"/>
      </w:pPr>
      <w:rPr/>
    </w:lvl>
    <w:lvl w:ilvl="8" w:tplc="4F9E46E3">
      <w:start w:val="1"/>
      <w:numFmt w:val="decimal"/>
      <w:suff w:val="tab"/>
      <w:lvlText w:val="%9."/>
      <w:lvlJc w:val="left"/>
      <w:pPr>
        <w:ind w:hanging="360" w:left="6480"/>
      </w:pPr>
      <w:rPr/>
    </w:lvl>
  </w:abstractNum>
  <w:abstractNum w:abstractNumId="9">
    <w:nsid w:val="6A32FC5D"/>
    <w:multiLevelType w:val="hybridMultilevel"/>
    <w:lvl w:ilvl="0" w:tplc="768AECA1">
      <w:start w:val="1"/>
      <w:numFmt w:val="bullet"/>
      <w:suff w:val="tab"/>
      <w:lvlText w:val="·"/>
      <w:lvlJc w:val="left"/>
      <w:pPr>
        <w:ind w:hanging="360" w:left="720"/>
      </w:pPr>
      <w:rPr>
        <w:rFonts w:ascii="Symbol" w:hAnsi="Symbol"/>
      </w:rPr>
    </w:lvl>
    <w:lvl w:ilvl="1" w:tplc="532C9D27">
      <w:start w:val="1"/>
      <w:numFmt w:val="bullet"/>
      <w:suff w:val="tab"/>
      <w:lvlText w:val="o"/>
      <w:lvlJc w:val="left"/>
      <w:pPr>
        <w:ind w:hanging="360" w:left="1440"/>
      </w:pPr>
      <w:rPr>
        <w:rFonts w:ascii="Symbol" w:hAnsi="Symbol"/>
      </w:rPr>
    </w:lvl>
    <w:lvl w:ilvl="2" w:tplc="77294817">
      <w:start w:val="1"/>
      <w:numFmt w:val="bullet"/>
      <w:suff w:val="tab"/>
      <w:lvlText w:val="·"/>
      <w:lvlJc w:val="left"/>
      <w:pPr>
        <w:ind w:hanging="360" w:left="2160"/>
      </w:pPr>
      <w:rPr>
        <w:rFonts w:ascii="Symbol" w:hAnsi="Symbol"/>
      </w:rPr>
    </w:lvl>
    <w:lvl w:ilvl="3" w:tplc="1125C2FE">
      <w:start w:val="1"/>
      <w:numFmt w:val="bullet"/>
      <w:suff w:val="tab"/>
      <w:lvlText w:val="o"/>
      <w:lvlJc w:val="left"/>
      <w:pPr>
        <w:ind w:hanging="360" w:left="2880"/>
      </w:pPr>
      <w:rPr>
        <w:rFonts w:ascii="Symbol" w:hAnsi="Symbol"/>
      </w:rPr>
    </w:lvl>
    <w:lvl w:ilvl="4" w:tplc="66DDCED6">
      <w:start w:val="1"/>
      <w:numFmt w:val="bullet"/>
      <w:suff w:val="tab"/>
      <w:lvlText w:val="·"/>
      <w:lvlJc w:val="left"/>
      <w:pPr>
        <w:ind w:hanging="360" w:left="3600"/>
      </w:pPr>
      <w:rPr>
        <w:rFonts w:ascii="Symbol" w:hAnsi="Symbol"/>
      </w:rPr>
    </w:lvl>
    <w:lvl w:ilvl="5" w:tplc="020E6037">
      <w:start w:val="1"/>
      <w:numFmt w:val="bullet"/>
      <w:suff w:val="tab"/>
      <w:lvlText w:val="o"/>
      <w:lvlJc w:val="left"/>
      <w:pPr>
        <w:ind w:hanging="360" w:left="4320"/>
      </w:pPr>
      <w:rPr>
        <w:rFonts w:ascii="Symbol" w:hAnsi="Symbol"/>
      </w:rPr>
    </w:lvl>
    <w:lvl w:ilvl="6" w:tplc="4D42CC91">
      <w:start w:val="1"/>
      <w:numFmt w:val="bullet"/>
      <w:suff w:val="tab"/>
      <w:lvlText w:val="·"/>
      <w:lvlJc w:val="left"/>
      <w:pPr>
        <w:ind w:hanging="360" w:left="5040"/>
      </w:pPr>
      <w:rPr>
        <w:rFonts w:ascii="Symbol" w:hAnsi="Symbol"/>
      </w:rPr>
    </w:lvl>
    <w:lvl w:ilvl="7" w:tplc="38F8EF6C">
      <w:start w:val="1"/>
      <w:numFmt w:val="bullet"/>
      <w:suff w:val="tab"/>
      <w:lvlText w:val="o"/>
      <w:lvlJc w:val="left"/>
      <w:pPr>
        <w:ind w:hanging="360" w:left="5760"/>
      </w:pPr>
      <w:rPr>
        <w:rFonts w:ascii="Symbol" w:hAnsi="Symbol"/>
      </w:rPr>
    </w:lvl>
    <w:lvl w:ilvl="8" w:tplc="66FFA68C">
      <w:start w:val="1"/>
      <w:numFmt w:val="bullet"/>
      <w:suff w:val="tab"/>
      <w:lvlText w:val="·"/>
      <w:lvlJc w:val="left"/>
      <w:pPr>
        <w:ind w:hanging="360" w:left="648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